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5C" w:rsidRPr="00F74064" w:rsidRDefault="0097625C" w:rsidP="0097625C">
      <w:pPr>
        <w:jc w:val="center"/>
        <w:rPr>
          <w:b/>
        </w:rPr>
      </w:pPr>
      <w:proofErr w:type="spellStart"/>
      <w:r w:rsidRPr="00F74064">
        <w:rPr>
          <w:b/>
        </w:rPr>
        <w:t>Eaquals</w:t>
      </w:r>
      <w:proofErr w:type="spellEnd"/>
      <w:r w:rsidRPr="00F74064">
        <w:rPr>
          <w:b/>
        </w:rPr>
        <w:t xml:space="preserve"> Speaker Representative Form</w:t>
      </w:r>
      <w:r w:rsidR="001F368D">
        <w:rPr>
          <w:b/>
        </w:rPr>
        <w:t xml:space="preserve"> 2019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986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Pr="006568A0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  <w:r w:rsidR="0097625C" w:rsidRPr="006568A0">
              <w:rPr>
                <w:b/>
                <w:sz w:val="20"/>
                <w:szCs w:val="20"/>
              </w:rPr>
              <w:t xml:space="preserve"> </w:t>
            </w:r>
            <w:r w:rsidR="0097625C" w:rsidRPr="00F74064">
              <w:rPr>
                <w:sz w:val="16"/>
                <w:szCs w:val="16"/>
              </w:rPr>
              <w:t xml:space="preserve">(in relation to </w:t>
            </w:r>
            <w:proofErr w:type="spellStart"/>
            <w:r w:rsidR="0097625C" w:rsidRPr="00F74064">
              <w:rPr>
                <w:sz w:val="16"/>
                <w:szCs w:val="16"/>
              </w:rPr>
              <w:t>Eaquals</w:t>
            </w:r>
            <w:proofErr w:type="spellEnd"/>
            <w:r w:rsidR="0097625C" w:rsidRPr="00F74064"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Area(s) of expertise</w:t>
            </w:r>
          </w:p>
          <w:p w:rsidR="0097625C" w:rsidRPr="00F74064" w:rsidRDefault="00DA3DE0" w:rsidP="00916F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all areas that you are prepared to speak on.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564F99">
        <w:tc>
          <w:tcPr>
            <w:tcW w:w="3256" w:type="dxa"/>
          </w:tcPr>
          <w:p w:rsidR="0097625C" w:rsidRDefault="00F74064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6378" w:type="dxa"/>
          </w:tcPr>
          <w:p w:rsidR="0097625C" w:rsidRPr="006568A0" w:rsidRDefault="0097625C" w:rsidP="00916F4E">
            <w:pPr>
              <w:rPr>
                <w:sz w:val="20"/>
                <w:szCs w:val="20"/>
              </w:rPr>
            </w:pPr>
          </w:p>
        </w:tc>
      </w:tr>
    </w:tbl>
    <w:p w:rsidR="0097625C" w:rsidRPr="006568A0" w:rsidRDefault="0097625C" w:rsidP="0097625C">
      <w:pPr>
        <w:rPr>
          <w:sz w:val="20"/>
          <w:szCs w:val="20"/>
        </w:rPr>
      </w:pPr>
    </w:p>
    <w:p w:rsidR="0097625C" w:rsidRPr="006568A0" w:rsidRDefault="0097625C" w:rsidP="0097625C">
      <w:pPr>
        <w:rPr>
          <w:sz w:val="20"/>
          <w:szCs w:val="20"/>
        </w:rPr>
      </w:pPr>
    </w:p>
    <w:p w:rsidR="0097625C" w:rsidRPr="004D0876" w:rsidRDefault="0097625C" w:rsidP="0097625C">
      <w:pPr>
        <w:tabs>
          <w:tab w:val="left" w:pos="1005"/>
        </w:tabs>
        <w:rPr>
          <w:sz w:val="20"/>
          <w:szCs w:val="20"/>
        </w:rPr>
      </w:pPr>
      <w:r w:rsidRPr="004D0876">
        <w:rPr>
          <w:b/>
          <w:sz w:val="20"/>
          <w:szCs w:val="20"/>
        </w:rPr>
        <w:t>Speaker Bio:</w:t>
      </w:r>
      <w:r>
        <w:rPr>
          <w:sz w:val="20"/>
          <w:szCs w:val="20"/>
        </w:rPr>
        <w:t xml:space="preserve"> </w:t>
      </w:r>
      <w:r w:rsidRPr="004D0876">
        <w:rPr>
          <w:sz w:val="20"/>
          <w:szCs w:val="20"/>
        </w:rPr>
        <w:t xml:space="preserve">Please provide a brief bio (max. 200 words) that </w:t>
      </w:r>
      <w:proofErr w:type="spellStart"/>
      <w:r w:rsidRPr="004D0876">
        <w:rPr>
          <w:sz w:val="20"/>
          <w:szCs w:val="20"/>
        </w:rPr>
        <w:t>Eaquals</w:t>
      </w:r>
      <w:proofErr w:type="spellEnd"/>
      <w:r w:rsidRPr="004D0876">
        <w:rPr>
          <w:sz w:val="20"/>
          <w:szCs w:val="20"/>
        </w:rPr>
        <w:t xml:space="preserve"> can use when on your behalf when resp</w:t>
      </w:r>
      <w:r>
        <w:rPr>
          <w:sz w:val="20"/>
          <w:szCs w:val="20"/>
        </w:rPr>
        <w:t>onding to requests for speakers.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625C" w:rsidTr="0097625C">
        <w:tc>
          <w:tcPr>
            <w:tcW w:w="9634" w:type="dxa"/>
          </w:tcPr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  <w:p w:rsidR="0097625C" w:rsidRDefault="0097625C" w:rsidP="00916F4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</w:tbl>
    <w:p w:rsidR="0097625C" w:rsidRPr="006568A0" w:rsidRDefault="0097625C" w:rsidP="0097625C">
      <w:pPr>
        <w:tabs>
          <w:tab w:val="left" w:pos="1005"/>
        </w:tabs>
        <w:rPr>
          <w:sz w:val="20"/>
          <w:szCs w:val="20"/>
        </w:rPr>
      </w:pPr>
    </w:p>
    <w:p w:rsidR="0097625C" w:rsidRPr="004D0876" w:rsidRDefault="0097625C" w:rsidP="009762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Availability: </w:t>
      </w:r>
      <w:r w:rsidRPr="004D0876">
        <w:rPr>
          <w:sz w:val="20"/>
          <w:szCs w:val="20"/>
        </w:rPr>
        <w:t>We realise that you have many other commitments in terms of work and, as such, we do not want to contact you unnecessarily. For that reason, please confirm</w:t>
      </w:r>
      <w:r>
        <w:rPr>
          <w:sz w:val="20"/>
          <w:szCs w:val="20"/>
        </w:rPr>
        <w:t>,</w:t>
      </w:r>
      <w:r w:rsidRPr="004D0876">
        <w:rPr>
          <w:sz w:val="20"/>
          <w:szCs w:val="20"/>
        </w:rPr>
        <w:t xml:space="preserve"> if possible</w:t>
      </w:r>
      <w:r>
        <w:rPr>
          <w:sz w:val="20"/>
          <w:szCs w:val="20"/>
        </w:rPr>
        <w:t>,</w:t>
      </w:r>
      <w:r w:rsidRPr="004D0876">
        <w:rPr>
          <w:sz w:val="20"/>
          <w:szCs w:val="20"/>
        </w:rPr>
        <w:t xml:space="preserve"> the periods when you are </w:t>
      </w:r>
      <w:r w:rsidR="00DA3DE0" w:rsidRPr="001F368D">
        <w:rPr>
          <w:b/>
          <w:color w:val="FF0000"/>
          <w:sz w:val="20"/>
          <w:szCs w:val="20"/>
          <w:u w:val="single"/>
        </w:rPr>
        <w:t>NOT</w:t>
      </w:r>
      <w:r w:rsidRPr="001F368D">
        <w:rPr>
          <w:b/>
          <w:color w:val="FF0000"/>
          <w:sz w:val="20"/>
          <w:szCs w:val="20"/>
          <w:u w:val="single"/>
        </w:rPr>
        <w:t xml:space="preserve"> </w:t>
      </w:r>
      <w:r w:rsidR="00DA3DE0" w:rsidRPr="001F368D">
        <w:rPr>
          <w:b/>
          <w:color w:val="FF0000"/>
          <w:sz w:val="20"/>
          <w:szCs w:val="20"/>
          <w:u w:val="single"/>
        </w:rPr>
        <w:t>AVAILABLE</w:t>
      </w:r>
      <w:r w:rsidRPr="001F368D">
        <w:rPr>
          <w:color w:val="FF0000"/>
          <w:sz w:val="20"/>
          <w:szCs w:val="20"/>
        </w:rPr>
        <w:t xml:space="preserve"> </w:t>
      </w:r>
      <w:r w:rsidRPr="004D0876">
        <w:rPr>
          <w:sz w:val="20"/>
          <w:szCs w:val="20"/>
        </w:rPr>
        <w:t>durin</w:t>
      </w:r>
      <w:r w:rsidR="00DA3DE0">
        <w:rPr>
          <w:sz w:val="20"/>
          <w:szCs w:val="20"/>
        </w:rPr>
        <w:t>g the year. Please include any other relevant details.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DA3DE0" w:rsidTr="00C44954">
        <w:tc>
          <w:tcPr>
            <w:tcW w:w="2547" w:type="dxa"/>
          </w:tcPr>
          <w:p w:rsidR="00DA3DE0" w:rsidRPr="006568A0" w:rsidRDefault="00DA3DE0" w:rsidP="00916F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Q1 </w:t>
            </w:r>
            <w:proofErr w:type="gramStart"/>
            <w:r>
              <w:rPr>
                <w:b/>
                <w:sz w:val="20"/>
                <w:szCs w:val="20"/>
              </w:rPr>
              <w:t xml:space="preserve">2018 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</w:t>
            </w:r>
            <w:proofErr w:type="gramEnd"/>
            <w:r w:rsidRPr="00DA3DE0">
              <w:rPr>
                <w:sz w:val="20"/>
                <w:szCs w:val="20"/>
              </w:rPr>
              <w:t>Jan – March)</w:t>
            </w:r>
          </w:p>
        </w:tc>
        <w:tc>
          <w:tcPr>
            <w:tcW w:w="7087" w:type="dxa"/>
          </w:tcPr>
          <w:p w:rsidR="00DA3DE0" w:rsidRDefault="00DA3DE0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>Q2</w:t>
            </w:r>
            <w:r w:rsidR="00F74064">
              <w:rPr>
                <w:b/>
                <w:sz w:val="20"/>
                <w:szCs w:val="20"/>
              </w:rPr>
              <w:t xml:space="preserve"> 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(April – June)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 xml:space="preserve">Q3 </w:t>
            </w:r>
            <w:proofErr w:type="gramStart"/>
            <w:r w:rsidR="00F74064">
              <w:rPr>
                <w:b/>
                <w:sz w:val="20"/>
                <w:szCs w:val="20"/>
              </w:rPr>
              <w:t>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F74064">
              <w:rPr>
                <w:b/>
                <w:sz w:val="20"/>
                <w:szCs w:val="20"/>
              </w:rPr>
              <w:t xml:space="preserve"> </w:t>
            </w:r>
            <w:r w:rsidR="00C4495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</w:t>
            </w:r>
            <w:proofErr w:type="gramEnd"/>
            <w:r w:rsidRPr="00DA3DE0">
              <w:rPr>
                <w:sz w:val="20"/>
                <w:szCs w:val="20"/>
              </w:rPr>
              <w:t>July – Sept)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  <w:tr w:rsidR="0097625C" w:rsidTr="00C44954">
        <w:tc>
          <w:tcPr>
            <w:tcW w:w="2547" w:type="dxa"/>
          </w:tcPr>
          <w:p w:rsidR="0097625C" w:rsidRPr="006568A0" w:rsidRDefault="0097625C" w:rsidP="00916F4E">
            <w:pPr>
              <w:rPr>
                <w:b/>
                <w:sz w:val="20"/>
                <w:szCs w:val="20"/>
              </w:rPr>
            </w:pPr>
            <w:r w:rsidRPr="006568A0">
              <w:rPr>
                <w:b/>
                <w:sz w:val="20"/>
                <w:szCs w:val="20"/>
              </w:rPr>
              <w:t xml:space="preserve">Q4 </w:t>
            </w:r>
            <w:r w:rsidR="00F74064">
              <w:rPr>
                <w:b/>
                <w:sz w:val="20"/>
                <w:szCs w:val="20"/>
              </w:rPr>
              <w:t>201</w:t>
            </w:r>
            <w:r w:rsidR="00DA3DE0">
              <w:rPr>
                <w:b/>
                <w:sz w:val="20"/>
                <w:szCs w:val="20"/>
              </w:rPr>
              <w:t>8</w:t>
            </w:r>
            <w:r w:rsidR="00F74064">
              <w:rPr>
                <w:b/>
                <w:sz w:val="20"/>
                <w:szCs w:val="20"/>
              </w:rPr>
              <w:t xml:space="preserve"> </w:t>
            </w:r>
            <w:r w:rsidRPr="00DA3DE0">
              <w:rPr>
                <w:sz w:val="20"/>
                <w:szCs w:val="20"/>
              </w:rPr>
              <w:t>(Oct – Dec)</w:t>
            </w:r>
          </w:p>
        </w:tc>
        <w:tc>
          <w:tcPr>
            <w:tcW w:w="7087" w:type="dxa"/>
          </w:tcPr>
          <w:p w:rsidR="0097625C" w:rsidRDefault="0097625C" w:rsidP="00916F4E">
            <w:pPr>
              <w:rPr>
                <w:sz w:val="20"/>
                <w:szCs w:val="20"/>
              </w:rPr>
            </w:pPr>
          </w:p>
        </w:tc>
      </w:tr>
    </w:tbl>
    <w:p w:rsidR="00CE4761" w:rsidRDefault="00CE4761" w:rsidP="0097625C"/>
    <w:p w:rsidR="00C44954" w:rsidRPr="0097625C" w:rsidRDefault="00C44954" w:rsidP="00C44954">
      <w:pPr>
        <w:jc w:val="center"/>
      </w:pPr>
      <w:r>
        <w:t xml:space="preserve">Please return completed form to </w:t>
      </w:r>
      <w:hyperlink r:id="rId8" w:history="1">
        <w:r w:rsidRPr="0059033D">
          <w:rPr>
            <w:rStyle w:val="Hyperlink"/>
          </w:rPr>
          <w:t>director@eaquals.org</w:t>
        </w:r>
      </w:hyperlink>
      <w:r>
        <w:t xml:space="preserve"> </w:t>
      </w:r>
    </w:p>
    <w:sectPr w:rsidR="00C44954" w:rsidRPr="0097625C" w:rsidSect="00251407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E8" w:rsidRDefault="00CC44E8" w:rsidP="007F61F6">
      <w:r>
        <w:separator/>
      </w:r>
    </w:p>
  </w:endnote>
  <w:endnote w:type="continuationSeparator" w:id="0">
    <w:p w:rsidR="00CC44E8" w:rsidRDefault="00CC44E8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MoolBoran"/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866362"/>
      <w:docPartObj>
        <w:docPartGallery w:val="Page Numbers (Bottom of Page)"/>
        <w:docPartUnique/>
      </w:docPartObj>
    </w:sdtPr>
    <w:sdtEndPr/>
    <w:sdtContent>
      <w:p w:rsidR="003661D5" w:rsidRDefault="003661D5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54" w:rsidRPr="00C44954">
          <w:rPr>
            <w:noProof/>
            <w:lang w:val="pl-PL"/>
          </w:rPr>
          <w:t>2</w:t>
        </w:r>
        <w:r>
          <w:fldChar w:fldCharType="end"/>
        </w:r>
      </w:p>
    </w:sdtContent>
  </w:sdt>
  <w:p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DF" w:rsidRPr="00F12D06" w:rsidRDefault="009C69DF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9C69DF" w:rsidRPr="00F12D06" w:rsidRDefault="009C69DF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-1301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E8" w:rsidRDefault="00CC44E8" w:rsidP="007F61F6">
      <w:r>
        <w:separator/>
      </w:r>
    </w:p>
  </w:footnote>
  <w:footnote w:type="continuationSeparator" w:id="0">
    <w:p w:rsidR="00CC44E8" w:rsidRDefault="00CC44E8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07" w:rsidRDefault="00251407" w:rsidP="00251407">
    <w:pPr>
      <w:jc w:val="both"/>
    </w:pPr>
  </w:p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7170D00" wp14:editId="3A5A72C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F1CB21" wp14:editId="690A897A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8FB04" wp14:editId="0ED29F4C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5EE17" wp14:editId="4CFBCD22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E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31CE0"/>
    <w:rsid w:val="00063035"/>
    <w:rsid w:val="000953B3"/>
    <w:rsid w:val="000B1A5B"/>
    <w:rsid w:val="001A3E9C"/>
    <w:rsid w:val="001D045D"/>
    <w:rsid w:val="001D616F"/>
    <w:rsid w:val="001F368D"/>
    <w:rsid w:val="002172B3"/>
    <w:rsid w:val="0022712E"/>
    <w:rsid w:val="00251407"/>
    <w:rsid w:val="00293488"/>
    <w:rsid w:val="002A1DB2"/>
    <w:rsid w:val="003043CD"/>
    <w:rsid w:val="0034661E"/>
    <w:rsid w:val="00346AB1"/>
    <w:rsid w:val="00363554"/>
    <w:rsid w:val="003661D5"/>
    <w:rsid w:val="0040485C"/>
    <w:rsid w:val="00504B57"/>
    <w:rsid w:val="00564F99"/>
    <w:rsid w:val="0056763B"/>
    <w:rsid w:val="005A3DF1"/>
    <w:rsid w:val="005B4CF5"/>
    <w:rsid w:val="005C3CC8"/>
    <w:rsid w:val="005D7D85"/>
    <w:rsid w:val="00604DCE"/>
    <w:rsid w:val="007022AA"/>
    <w:rsid w:val="0070325F"/>
    <w:rsid w:val="0071248B"/>
    <w:rsid w:val="00757BB0"/>
    <w:rsid w:val="007729C8"/>
    <w:rsid w:val="0079455D"/>
    <w:rsid w:val="007B419B"/>
    <w:rsid w:val="007F4E32"/>
    <w:rsid w:val="007F61F6"/>
    <w:rsid w:val="007F7EBC"/>
    <w:rsid w:val="00831377"/>
    <w:rsid w:val="00840275"/>
    <w:rsid w:val="008506DC"/>
    <w:rsid w:val="00886695"/>
    <w:rsid w:val="00897373"/>
    <w:rsid w:val="00901B3F"/>
    <w:rsid w:val="00904B67"/>
    <w:rsid w:val="0092523B"/>
    <w:rsid w:val="009514BA"/>
    <w:rsid w:val="0097625C"/>
    <w:rsid w:val="009B59C4"/>
    <w:rsid w:val="009C69DF"/>
    <w:rsid w:val="009D0B9C"/>
    <w:rsid w:val="009E65BC"/>
    <w:rsid w:val="00A15D94"/>
    <w:rsid w:val="00A40BD7"/>
    <w:rsid w:val="00A66888"/>
    <w:rsid w:val="00A847D4"/>
    <w:rsid w:val="00A935D3"/>
    <w:rsid w:val="00AB5AC9"/>
    <w:rsid w:val="00AE2939"/>
    <w:rsid w:val="00B01381"/>
    <w:rsid w:val="00B554C2"/>
    <w:rsid w:val="00C05745"/>
    <w:rsid w:val="00C23C2C"/>
    <w:rsid w:val="00C44954"/>
    <w:rsid w:val="00CA46F2"/>
    <w:rsid w:val="00CC41C0"/>
    <w:rsid w:val="00CC44E8"/>
    <w:rsid w:val="00CE4761"/>
    <w:rsid w:val="00D16C38"/>
    <w:rsid w:val="00D50501"/>
    <w:rsid w:val="00D95B90"/>
    <w:rsid w:val="00DA3DE0"/>
    <w:rsid w:val="00DB4DB2"/>
    <w:rsid w:val="00DC3FA1"/>
    <w:rsid w:val="00E70D2C"/>
    <w:rsid w:val="00EB30ED"/>
    <w:rsid w:val="00ED34DE"/>
    <w:rsid w:val="00F74064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40E11"/>
  <w14:defaultImageDpi w14:val="300"/>
  <w15:docId w15:val="{8DB0442A-CA86-49FC-8979-9CE20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4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eaqua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47A5F-9FF4-400F-A21D-32D9CB63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Lou McLaughlin</cp:lastModifiedBy>
  <cp:revision>3</cp:revision>
  <cp:lastPrinted>2016-11-24T11:55:00Z</cp:lastPrinted>
  <dcterms:created xsi:type="dcterms:W3CDTF">2017-11-27T14:56:00Z</dcterms:created>
  <dcterms:modified xsi:type="dcterms:W3CDTF">2019-01-03T14:57:00Z</dcterms:modified>
</cp:coreProperties>
</file>